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9814dba1041e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11390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Srdoči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2.698.711,91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2.886.924,21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2.714.250,70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3.076.299,92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15.538,79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189.375,71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20.764,84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23.659,58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20.764,84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23.659,58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36.303,63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213.035,29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586,8</w:t>
            </w:r>
          </w:p>
        </w:tc>
      </w:tr>
    </w:tbl>
    <w:p>
      <w:pPr>
        <w:spacing w:before="0" w:after="0"/>
      </w:pPr>
    </w:p>
    <w:p>
      <w:r>
        <w:t xml:space="preserve">Prihodi i rashodi su povećani u odnosu na prethodnu godinu prvenstveno zbog povećanja osnovice za plaće i režijskih troškova. Na povećanje prihoda je utjecala i uplata od Agencije za mobilnost za preostali dio ugovora za drugi turnus Erasmus+ akreditacije. Škola sudjeluje u još jednom EU projektu Rinkluzija te su ostvareni prihodi i za taj projekt. Prihodi su također povećani zbog uplata od strane MZO-a za razne projekte krajem 2025. godine a rashodi će biti realizirani tek u 2026. godini. Rashodi su povećani u odnosu na prethodnu godinu jer je ukinut konto 193 te se trošak plaće knjižio za mjesec u kojemu je i nastao. Došlo je do izmjena u knjiženju EU projekata pa je rashod veliki a prihod će se moći primiti tek nakon završetka cijelog ugovora. Manjak prihoda biti će podmiren u siječnju 2026. godine isplatom plaća, režijskih troškova od strane Osnivača i uplatama roditelja za usluge produženog boravka.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2.698.711,91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2.886.924,21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</w:tbl>
    <w:p>
      <w:pPr>
        <w:spacing w:before="0" w:after="0"/>
      </w:pPr>
    </w:p>
    <w:p>
      <w:r>
        <w:t xml:space="preserve">Prihodi su povećani u odnosu na prethodnu godinu zbog povećanja osnovice za plaće i režijskih troškova. Prihodi od projekta Rinkluzija i od Erasmus projekta utjecali na povećanje prihoda te prihodi od MZO-a za razne projekte i PDS testove. ostvaren je prihod i za pripravnicu koja je bila zaposlena preko mjere HZZZ-a za zapošljavanje bez zasnivanja radog odnosa,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5.977,75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9.722,12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162,6</w:t>
            </w:r>
          </w:p>
        </w:tc>
      </w:tr>
    </w:tbl>
    <w:p>
      <w:pPr>
        <w:spacing w:before="0" w:after="0"/>
      </w:pPr>
    </w:p>
    <w:p>
      <w:r>
        <w:t xml:space="preserve">Prihod za kapitalne povećan je u odnosu na prethodnu godinu jer je nabavljena veća količina trajnih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144.427,77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152.482,39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105,6</w:t>
            </w:r>
          </w:p>
        </w:tc>
      </w:tr>
    </w:tbl>
    <w:p>
      <w:pPr>
        <w:spacing w:before="0" w:after="0"/>
      </w:pPr>
    </w:p>
    <w:p>
      <w:r>
        <w:t xml:space="preserve">Prihod je povećan zbog redovitog podmirivanja potraživanja od strane roditelja za produženi boravak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8.545,45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259,0</w:t>
            </w:r>
          </w:p>
        </w:tc>
      </w:tr>
    </w:tbl>
    <w:p>
      <w:pPr>
        <w:spacing w:before="0" w:after="0"/>
      </w:pPr>
    </w:p>
    <w:p>
      <w:r>
        <w:t xml:space="preserve">Školi je donirana oprema i računala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</w:t>
            </w:r>
          </w:p>
        </w:tc>
      </w:tr>
    </w:tbl>
    <w:p>
      <w:pPr>
        <w:spacing w:before="0" w:after="0"/>
      </w:pPr>
    </w:p>
    <w:p>
      <w:r>
        <w:t xml:space="preserve">Donacija od Lidla u iznosu od 2000,00 eura za osvojeno prvo mjesto na natjecanju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283.656,69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340.340,39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120,0</w:t>
            </w:r>
          </w:p>
        </w:tc>
      </w:tr>
    </w:tbl>
    <w:p>
      <w:pPr>
        <w:spacing w:before="0" w:after="0"/>
      </w:pPr>
    </w:p>
    <w:p>
      <w:r>
        <w:t xml:space="preserve">Prihodi su povećani zbog povećanja osnovice za plaće i projekta Rinkluzija za zapošljavanje pomoćnika u nastavi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2.714.250,70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3.076.299,92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Ukupni rashodi su povećani zbog povećanja osnovice za plaće, režijskih troškova te zbog promjena u knjiženju EU projekata jer za sada knjižimo rashode a prihod će se primiti tek krajem 2026. godine te zbog gašenja konta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2.192.055,43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2.539.443,94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</w:tbl>
    <w:p>
      <w:pPr>
        <w:spacing w:before="0" w:after="0"/>
      </w:pPr>
    </w:p>
    <w:p>
      <w:r>
        <w:t xml:space="preserve">Rashodi za zaposlene su povećani zbog povećanja osnovice za plaće i zbog projekta Rinkluzija za zapošljavanje zaposlenika u nastavi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15.821,09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46.975,95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296,9</w:t>
            </w:r>
          </w:p>
        </w:tc>
      </w:tr>
    </w:tbl>
    <w:p>
      <w:pPr>
        <w:spacing w:before="0" w:after="0"/>
      </w:pPr>
    </w:p>
    <w:p>
      <w:r>
        <w:t xml:space="preserve">Rashodi su povećani zbog mobilnosti s Erasmus projektom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51,7</w:t>
            </w:r>
          </w:p>
        </w:tc>
      </w:tr>
    </w:tbl>
    <w:p>
      <w:pPr>
        <w:spacing w:before="0" w:after="0"/>
      </w:pPr>
    </w:p>
    <w:p>
      <w:r>
        <w:t xml:space="preserve">Rashod je smanjen u odnosu na prethodno razdoblje jer bilo manje popravaka po školi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7.595,99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205,9</w:t>
            </w:r>
          </w:p>
        </w:tc>
      </w:tr>
    </w:tbl>
    <w:p>
      <w:pPr>
        <w:spacing w:before="0" w:after="0"/>
      </w:pPr>
    </w:p>
    <w:p>
      <w:r>
        <w:t xml:space="preserve">U 2025. godini je nabavljeno sitnog inventara za školsku kuhinju i produženi boravak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14.809,19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235.643,32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1591,2</w:t>
            </w:r>
          </w:p>
        </w:tc>
      </w:tr>
    </w:tbl>
    <w:p>
      <w:pPr>
        <w:spacing w:before="0" w:after="0"/>
      </w:pPr>
    </w:p>
    <w:p>
      <w:r>
        <w:t xml:space="preserve">Prema čl. 161 st. 3. novoga pravilnika evidentirana su potraživanja za pomoći od proračuna koji nam nije nadležan (plaće, materijalna prava, prehrana...)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35.380,04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je veći  zbog korekcije financijskog rezultata za 2024. godine zbog promjene u knjiženju EU projekata.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Prema uputi zatvoren je poslovni račun škole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482.670,67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450.223,62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93,3</w:t>
            </w:r>
          </w:p>
        </w:tc>
      </w:tr>
    </w:tbl>
    <w:p>
      <w:pPr>
        <w:spacing w:before="0" w:after="0"/>
      </w:pPr>
    </w:p>
    <w:p>
      <w:r>
        <w:t xml:space="preserve">Vrijednost nefinancijske imovine je smanjena. Nabavljeno je nove opreme, sitnog inventara , knjiga za školsku knjišnicu, udžbenike za školsku godinu 202/2026 ali su rashod sitnog inventara, dotrajale opreme i amortizacija iznosili 82.909,20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234.025,58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302.172,10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r>
        <w:t xml:space="preserve">Financijska imovina je povećana zbog uplaćenih sredstava za Erasmus akreditaciju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na računu kod tuzemnih poslovnih banaka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Poslovni račun je zatvoren u prosincu 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-27.042,84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-248.415,33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918,6</w:t>
            </w:r>
          </w:p>
        </w:tc>
      </w:tr>
    </w:tbl>
    <w:p>
      <w:pPr>
        <w:spacing w:before="0" w:after="0"/>
      </w:pPr>
    </w:p>
    <w:p>
      <w:r>
        <w:t xml:space="preserve">Manjak poslovanja za 2025. godinu sa prenesenim manjkom iz 2024. godine će se podmiriti isplatom plaća za prosinac 2025, podmirenjem režijskih troškova te završetkom ugovora za Erasmus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14.809,19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235.643,32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1591,2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Prema članku 161. st.3. novoga pravilnika evidentirana su potraživanja za pomoći za od proračuna koji nam nije nadležan (plaće, materijalna prava, prehrana...)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Evidentirana je vrijednost ugovora za treći turnus Erasmus akreditacije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po ugovorima o dodijeljenim bespovratnim sredstvima iz EU fondova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Evidentirana je vrijednost ugovora za treći turnus Erasmus akreditacije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2.735.015,54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3.099.959,50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U tekućoj 2025. godini ukupni rashodi iznose 3.099.959,50 eura, na osnovnu djelatnost odnosi se 2.904.354,92 eura a na dodatne usluge u obrazovanju 195.604,58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nije bilo promjene u vrijednosti i obujmu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14.064,01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se odnose na materijalne rashode i režijske troškove a do donjih je došlo zbog poteškoća kod isporuke računa od strane dobavljača.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236.141,32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će biti podmirene u siječnju  isplatom plaća i režijskih troškova za 12/2025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60.181,78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Evidentirane su obveze za EU predujmove za Erasmus, Rinkluziju i bolovanje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sudjeluje u dva EU projekta. Za projekt Rinkluzija za zapošljavanje pomoćnika u nastavi škola je u 2025. godini ostvarila prihod od 10.634,81 eura a na obvezama za EU predujmove evidentirano je 9005,96 eura. U 2026. godini završava teći turnus Erasmus+ akreditacije koja je započela u 2025. pa će se prihod primiti krajem 2026. godine te su zbog toga rashodi veliki.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110bdc856543b3" /></Relationships>
</file>